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7EDD" w14:textId="77777777" w:rsidR="002B649B" w:rsidRDefault="002B649B" w:rsidP="00FC0D85">
      <w:pPr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E36544C" wp14:editId="254CA308">
            <wp:simplePos x="0" y="0"/>
            <wp:positionH relativeFrom="column">
              <wp:posOffset>800100</wp:posOffset>
            </wp:positionH>
            <wp:positionV relativeFrom="paragraph">
              <wp:posOffset>-685800</wp:posOffset>
            </wp:positionV>
            <wp:extent cx="4163695" cy="1047750"/>
            <wp:effectExtent l="0" t="0" r="1905" b="0"/>
            <wp:wrapThrough wrapText="bothSides">
              <wp:wrapPolygon edited="0">
                <wp:start x="0" y="0"/>
                <wp:lineTo x="0" y="20945"/>
                <wp:lineTo x="21478" y="20945"/>
                <wp:lineTo x="21478" y="0"/>
                <wp:lineTo x="0" y="0"/>
              </wp:wrapPolygon>
            </wp:wrapThrough>
            <wp:docPr id="1" name="Image 1" descr="En-tê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-tê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B86FB" w14:textId="77777777" w:rsidR="002B649B" w:rsidRDefault="002B649B" w:rsidP="00FC0D85">
      <w:pPr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4B36027B" w14:textId="77777777" w:rsidR="002B649B" w:rsidRDefault="002B649B" w:rsidP="00FC0D85">
      <w:pPr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720A0FF8" w14:textId="77777777" w:rsidR="002B649B" w:rsidRDefault="002B649B" w:rsidP="00FC0D85">
      <w:pPr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0713992E" w14:textId="77777777" w:rsidR="002B649B" w:rsidRDefault="002B649B" w:rsidP="002B649B">
      <w:p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</w:p>
    <w:p w14:paraId="15E82566" w14:textId="77777777" w:rsidR="006A3111" w:rsidRPr="006A3111" w:rsidRDefault="006A3111" w:rsidP="00FC0D85">
      <w:pPr>
        <w:jc w:val="center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b/>
          <w:color w:val="000000"/>
          <w:sz w:val="18"/>
          <w:szCs w:val="18"/>
        </w:rPr>
        <w:t>REGLEMENT CONCERNANT l’UTILISATION DES VEHICULES GEODE</w:t>
      </w:r>
    </w:p>
    <w:p w14:paraId="05EF6990" w14:textId="77777777" w:rsidR="00FC0D85" w:rsidRDefault="00FC0D85" w:rsidP="00FC0D85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CB172EF" w14:textId="54BC8041" w:rsidR="006A3111" w:rsidRDefault="002B649B" w:rsidP="00FC0D85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Gestionnaire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et référent technique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du parc : </w:t>
      </w:r>
      <w:r w:rsidR="002901D3">
        <w:rPr>
          <w:rFonts w:ascii="Helvetica" w:eastAsia="Times New Roman" w:hAnsi="Helvetica" w:cs="Times New Roman"/>
          <w:color w:val="000000"/>
          <w:sz w:val="18"/>
          <w:szCs w:val="18"/>
        </w:rPr>
        <w:t>Sylvain Morvan</w:t>
      </w:r>
    </w:p>
    <w:p w14:paraId="4E930873" w14:textId="77777777" w:rsidR="00FC0D85" w:rsidRDefault="00FC0D85" w:rsidP="006A311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9B80482" w14:textId="77777777" w:rsidR="00FC0D85" w:rsidRDefault="00FC0D85" w:rsidP="006A311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391DC2D" w14:textId="77777777" w:rsidR="006A3111" w:rsidRDefault="006A3111" w:rsidP="006A3111">
      <w:p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b/>
          <w:color w:val="000000"/>
          <w:sz w:val="18"/>
          <w:szCs w:val="18"/>
        </w:rPr>
        <w:t>Conditions générales</w:t>
      </w:r>
    </w:p>
    <w:p w14:paraId="2DB86205" w14:textId="77777777" w:rsid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Les deux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véhicules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constituant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le parc automobile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GEODE (Ford Ranger 4x4 pick-up (5p) et Berlingo 4x4 (5p))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sont la propriété du CNRS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15953216" w14:textId="77777777" w:rsid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• Ils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ne pourrons pas être utilisés à des fins d’enseignement sauf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dans le cadre de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stages de terrain avec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des étudiants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stagiaires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embauchés par GEODE.</w:t>
      </w:r>
    </w:p>
    <w:p w14:paraId="17AF286C" w14:textId="6229F980" w:rsidR="00FC0D85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L’utilisation des véhicules est strictement réservée aux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seuls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personnels titulaires permanent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s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FC0D85" w:rsidRPr="006A3111">
        <w:rPr>
          <w:rFonts w:ascii="Helvetica" w:eastAsia="Times New Roman" w:hAnsi="Helvetica" w:cs="Times New Roman"/>
          <w:color w:val="000000"/>
          <w:sz w:val="18"/>
          <w:szCs w:val="18"/>
        </w:rPr>
        <w:t>(C,EC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>,</w:t>
      </w:r>
      <w:r w:rsidR="00FC0D85"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ITA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)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et non permanents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(Doctorants allocataires, </w:t>
      </w:r>
      <w:r w:rsidR="00562195">
        <w:rPr>
          <w:rFonts w:ascii="Helvetica" w:eastAsia="Times New Roman" w:hAnsi="Helvetica" w:cs="Times New Roman"/>
          <w:color w:val="000000"/>
          <w:sz w:val="18"/>
          <w:szCs w:val="18"/>
        </w:rPr>
        <w:t>post doctorants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CDD) membres de l’unit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>é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</w:t>
      </w:r>
    </w:p>
    <w:p w14:paraId="35AE7414" w14:textId="77777777" w:rsidR="006A3111" w:rsidRP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Stagiaires,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étudiants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et membres invités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ne sont pas autorisés à utiliser ces véhicules. </w:t>
      </w:r>
    </w:p>
    <w:p w14:paraId="00A7E9A1" w14:textId="77777777" w:rsid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• Le labo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ratoire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GEODE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prend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à sa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charge l’assurance, le premier plein de carburant et l'entretien des véhicules </w:t>
      </w:r>
    </w:p>
    <w:p w14:paraId="44BA681B" w14:textId="77777777" w:rsidR="006A3111" w:rsidRP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• Les frais de réparation seront à la charge de l’utilisateur en cas de négligence avérée ou de non respect des règles d’utilisation (prise du véhicule sans déclaration ou autorisation préalable par exemple).</w:t>
      </w:r>
    </w:p>
    <w:p w14:paraId="3E38AA81" w14:textId="77777777" w:rsid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En cas d’infraction au code de la route, les frais d’amendes et le retrait de points seront à la charge de l’utilisateur déclaré (signataire du bon de prise en charge) lors de l’infraction. </w:t>
      </w:r>
    </w:p>
    <w:p w14:paraId="1EF1DBE0" w14:textId="77777777" w:rsid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Les frais de carburants et de péages restent strictement à la charge de l’utilisateur. Frais qui seront ensuite remboursés avec pièces justificatives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(tickets de péage, factures de carburant ou de réparations le cas échéant)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dans le cadre du remboursement de leurs frais de missions. </w:t>
      </w:r>
    </w:p>
    <w:p w14:paraId="3F8CDF04" w14:textId="77777777" w:rsidR="006A3111" w:rsidRPr="006A3111" w:rsidRDefault="006A3111" w:rsidP="00FC0D85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• L’utilisation du pick-up 4x4 ne sera acceptée qu’avec une formation initiale à l’utilisation de ce type de véhicule. </w:t>
      </w:r>
    </w:p>
    <w:p w14:paraId="1A54709A" w14:textId="77777777" w:rsidR="006A3111" w:rsidRPr="006A3111" w:rsidRDefault="006A3111" w:rsidP="006A3111">
      <w:pPr>
        <w:jc w:val="both"/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b/>
          <w:color w:val="000000"/>
          <w:sz w:val="18"/>
          <w:szCs w:val="18"/>
        </w:rPr>
        <w:t>Utilisation</w:t>
      </w:r>
      <w:r w:rsidR="002B649B">
        <w:rPr>
          <w:rFonts w:ascii="Helvetica" w:eastAsia="Times New Roman" w:hAnsi="Helvetica" w:cs="Times New Roman"/>
          <w:b/>
          <w:color w:val="000000"/>
          <w:sz w:val="18"/>
          <w:szCs w:val="18"/>
        </w:rPr>
        <w:t>,</w:t>
      </w:r>
      <w:r w:rsidR="00FC0D85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réservation </w:t>
      </w:r>
      <w:r w:rsidR="002B649B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et prise en charge </w:t>
      </w:r>
      <w:r w:rsidR="00FC0D85">
        <w:rPr>
          <w:rFonts w:ascii="Helvetica" w:eastAsia="Times New Roman" w:hAnsi="Helvetica" w:cs="Times New Roman"/>
          <w:b/>
          <w:color w:val="000000"/>
          <w:sz w:val="18"/>
          <w:szCs w:val="18"/>
        </w:rPr>
        <w:t>des véhicules</w:t>
      </w:r>
    </w:p>
    <w:p w14:paraId="347076BF" w14:textId="77777777" w:rsidR="006A3111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L’utilisation des véhicules se fera sur la base d’une réservation préalable avec un délai suffisant (10 jours avant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la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prise du véhicule) soumise à validation, sauf cas exceptionnels négociés avec la direction du labo et le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gestionnaire des véhicules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: ceci afin que les utilisateurs potentiels aient le temps d’organiser ou de modifier leurs calendriers de mission en cas de non disponibilité.</w:t>
      </w:r>
    </w:p>
    <w:p w14:paraId="59885D12" w14:textId="77777777" w:rsidR="006A3111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>La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durée d’utilisation 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>ne devra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pas excéder 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5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jours consécutifs sauf cas ex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ceptionnel soumis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à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négociation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: ceci afin 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d’éviter que les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véhicule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>s ne soient pas bloqués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pendant plus d’une semaine, pénalisant ainsi les autres utilisateurs potentiels. </w:t>
      </w:r>
    </w:p>
    <w:p w14:paraId="5F6753A7" w14:textId="0F292A9A" w:rsidR="00FC0D85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• La prise  d’un véhicule (dont le réservoir sera plein) et la remise des papiers et des clés du garage et du véhicule sera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précédée de la signature d’un formulaire de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décharge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auprès du gestionnaire du parc. Le formulaire de décharge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précis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era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le kilométrage de départ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et de retour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, la destination, l’objet du déplacement, le projet associé (s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i tel est le cas) et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le nom des passagers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éventuels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Un carnet de bord sera mis à disposition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de l’emprunteur 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dans lequel seront consigné les dates d’utilisation et le </w:t>
      </w:r>
      <w:r w:rsidR="00562195">
        <w:rPr>
          <w:rFonts w:ascii="Helvetica" w:eastAsia="Times New Roman" w:hAnsi="Helvetica" w:cs="Times New Roman"/>
          <w:color w:val="000000"/>
          <w:sz w:val="18"/>
          <w:szCs w:val="18"/>
        </w:rPr>
        <w:t>kilométrage</w:t>
      </w:r>
      <w:r w:rsidR="00FC0D8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réalisée.</w:t>
      </w:r>
    </w:p>
    <w:p w14:paraId="1A011EE3" w14:textId="77777777" w:rsidR="006A3111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 • Le retour du véhicule  sera accompagné d’une remise des clés et des papiers ainsi q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ue d’un contre-signature 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d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u formulaire de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décharge</w:t>
      </w: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où sera mentionné le Km effectué et le signalement obligatoire de tout problème éventuel. </w:t>
      </w:r>
    </w:p>
    <w:p w14:paraId="380AAF8D" w14:textId="77777777" w:rsidR="006A3111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• Le véhicule sera remis avec le plein effectué et dans l'état de propreté constaté lors de la prise en charge</w:t>
      </w:r>
    </w:p>
    <w:p w14:paraId="0CFD79D6" w14:textId="77777777" w:rsidR="006A3111" w:rsidRP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• L</w:t>
      </w:r>
      <w:r w:rsidR="002B649B">
        <w:rPr>
          <w:rFonts w:ascii="Helvetica" w:eastAsia="Times New Roman" w:hAnsi="Helvetica" w:cs="Times New Roman"/>
          <w:color w:val="000000"/>
          <w:sz w:val="18"/>
          <w:szCs w:val="18"/>
        </w:rPr>
        <w:t>es véhicules seront non fumeurs.</w:t>
      </w:r>
    </w:p>
    <w:p w14:paraId="7337B066" w14:textId="77777777" w:rsidR="006A3111" w:rsidRDefault="006A3111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A7738F5" w14:textId="77777777" w:rsidR="002B649B" w:rsidRPr="006A3111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AD0EB3F" w14:textId="77777777" w:rsidR="006A3111" w:rsidRDefault="006A3111" w:rsidP="002B649B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A3111">
        <w:rPr>
          <w:rFonts w:ascii="Helvetica" w:eastAsia="Times New Roman" w:hAnsi="Helvetica" w:cs="Times New Roman"/>
          <w:color w:val="000000"/>
          <w:sz w:val="18"/>
          <w:szCs w:val="18"/>
        </w:rPr>
        <w:t>Le non respect de ces règles d’utilisation entrainera une suspension immédiate et définitive de l’accès aux véhicules.</w:t>
      </w:r>
    </w:p>
    <w:p w14:paraId="0BDD7401" w14:textId="77777777" w:rsidR="002B649B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9B812F8" w14:textId="77777777" w:rsidR="002B649B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5BC8E4F" w14:textId="77777777" w:rsidR="002B649B" w:rsidRDefault="002B649B" w:rsidP="002B649B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DAC3ADA" w14:textId="22E56674" w:rsidR="002B649B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Je soussigné ………………………………………déclare avoir pris connaissance et accepter les r</w:t>
      </w:r>
      <w:r w:rsidR="00CA2E46">
        <w:rPr>
          <w:rFonts w:ascii="Helvetica" w:eastAsia="Times New Roman" w:hAnsi="Helvetica" w:cs="Times New Roman"/>
          <w:color w:val="000000"/>
          <w:sz w:val="18"/>
          <w:szCs w:val="18"/>
        </w:rPr>
        <w:t>è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gles d’utilisation </w:t>
      </w:r>
      <w:r w:rsidR="00562195">
        <w:rPr>
          <w:rFonts w:ascii="Helvetica" w:eastAsia="Times New Roman" w:hAnsi="Helvetica" w:cs="Times New Roman"/>
          <w:color w:val="000000"/>
          <w:sz w:val="18"/>
          <w:szCs w:val="18"/>
        </w:rPr>
        <w:t>ci-dessus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735A81FA" w14:textId="77777777" w:rsidR="002B649B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Le ……………….à …………………</w:t>
      </w:r>
    </w:p>
    <w:p w14:paraId="72394A47" w14:textId="77777777" w:rsidR="002B649B" w:rsidRPr="006A3111" w:rsidRDefault="002B649B" w:rsidP="002B649B">
      <w:pPr>
        <w:ind w:left="284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AE38CBE" w14:textId="77777777" w:rsidR="006A3111" w:rsidRPr="006A3111" w:rsidRDefault="002B649B" w:rsidP="006A3111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Signature</w:t>
      </w:r>
    </w:p>
    <w:p w14:paraId="269B0DBF" w14:textId="77777777" w:rsidR="006A3111" w:rsidRPr="006A3111" w:rsidRDefault="006A3111" w:rsidP="006A311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56B1F1F" w14:textId="77777777" w:rsidR="006A3111" w:rsidRPr="006A3111" w:rsidRDefault="006A3111" w:rsidP="006A3111">
      <w:pPr>
        <w:rPr>
          <w:rFonts w:ascii="Times" w:eastAsia="Times New Roman" w:hAnsi="Times" w:cs="Times New Roman"/>
          <w:sz w:val="20"/>
          <w:szCs w:val="20"/>
        </w:rPr>
      </w:pPr>
    </w:p>
    <w:p w14:paraId="1995ADB9" w14:textId="77777777" w:rsidR="00A62761" w:rsidRDefault="00A62761"/>
    <w:sectPr w:rsidR="00A62761" w:rsidSect="006234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11"/>
    <w:rsid w:val="002901D3"/>
    <w:rsid w:val="002B649B"/>
    <w:rsid w:val="00562195"/>
    <w:rsid w:val="0062347A"/>
    <w:rsid w:val="006A3111"/>
    <w:rsid w:val="00A62761"/>
    <w:rsid w:val="00CA2E46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B678E"/>
  <w14:defaultImageDpi w14:val="300"/>
  <w15:docId w15:val="{92B69BA5-8EA0-EA49-8866-4E23BC48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2991</Characters>
  <Application>Microsoft Office Word</Application>
  <DocSecurity>0</DocSecurity>
  <Lines>24</Lines>
  <Paragraphs>7</Paragraphs>
  <ScaleCrop>false</ScaleCrop>
  <Company>CNRS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GALOP</dc:creator>
  <cp:keywords/>
  <dc:description/>
  <cp:lastModifiedBy>Microsoft Office User</cp:lastModifiedBy>
  <cp:revision>3</cp:revision>
  <dcterms:created xsi:type="dcterms:W3CDTF">2023-05-11T07:46:00Z</dcterms:created>
  <dcterms:modified xsi:type="dcterms:W3CDTF">2023-05-11T07:51:00Z</dcterms:modified>
</cp:coreProperties>
</file>